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ACUERDO ___ DE ____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(         )</w:t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b w:val="1"/>
          <w:i w:val="1"/>
          <w:color w:val="333333"/>
          <w:sz w:val="24"/>
          <w:szCs w:val="24"/>
        </w:rPr>
      </w:pPr>
      <w:r w:rsidDel="00000000" w:rsidR="00000000" w:rsidRPr="00000000">
        <w:rPr>
          <w:b w:val="1"/>
          <w:i w:val="1"/>
          <w:color w:val="333333"/>
          <w:sz w:val="24"/>
          <w:szCs w:val="24"/>
          <w:rtl w:val="0"/>
        </w:rPr>
        <w:t xml:space="preserve">Por medio del cual se establece una política de dignificación de las prácticas laborales en el municipio de </w:t>
      </w:r>
      <w:r w:rsidDel="00000000" w:rsidR="00000000" w:rsidRPr="00000000">
        <w:rPr>
          <w:b w:val="1"/>
          <w:i w:val="1"/>
          <w:color w:val="333333"/>
          <w:sz w:val="24"/>
          <w:szCs w:val="24"/>
          <w:shd w:fill="b6d7a8" w:val="clear"/>
          <w:rtl w:val="0"/>
        </w:rPr>
        <w:t xml:space="preserve">(nombre del municipio)</w:t>
      </w:r>
      <w:r w:rsidDel="00000000" w:rsidR="00000000" w:rsidRPr="00000000">
        <w:rPr>
          <w:b w:val="1"/>
          <w:i w:val="1"/>
          <w:color w:val="33333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jc w:val="center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EL CONCEJO DE </w:t>
      </w:r>
      <w:r w:rsidDel="00000000" w:rsidR="00000000" w:rsidRPr="00000000">
        <w:rPr>
          <w:b w:val="1"/>
          <w:i w:val="1"/>
          <w:color w:val="333333"/>
          <w:sz w:val="24"/>
          <w:szCs w:val="24"/>
          <w:shd w:fill="b6d7a8" w:val="clear"/>
          <w:rtl w:val="0"/>
        </w:rPr>
        <w:t xml:space="preserve">(nombre del municipio)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En uso de sus atribuciones constitucionales y legales, en especial las que le confieren los numerales 1 y 24 del artículo 12 del Decreto Ley 1421 de 1993,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ACUERDA</w:t>
      </w:r>
    </w:p>
    <w:p w:rsidR="00000000" w:rsidDel="00000000" w:rsidP="00000000" w:rsidRDefault="00000000" w:rsidRPr="00000000" w14:paraId="0000000C">
      <w:pPr>
        <w:shd w:fill="ffffff" w:val="clear"/>
        <w:jc w:val="center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ARTÍCULO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1.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La Administración Municipal, dentro de los seis (6) meses siguientes a la entrada en vigencia de este Acuerdo, diseñará e implementará una política de dignificación de las prácticas laborales, pasantías, judicatura o relación de docencia de servicio en el área de la salud, subsidiada en todas las entidades del nivel central y descentralizado del municipio.</w:t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PARÁGRAFO.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La Administración Municipal publicará en un único sitio web, el listado completo de prácticas laborales, pasantías, judicatura o relación de docencia de servicio en el área de la salud, ofrecido por todas las entidades del nivel central y descentralizado del municipio y sus aledaños.</w:t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ARTÍCULO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2.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La política de dignificación de las prácticas laborales, pasantías, judicatura o relación de docencia de servicio en el área de la salud, se desarrollará teniendo en cuenta criterios objetivos de selección de los estudiantes que aspiren ser parte de la estrategia.</w:t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PARÁGRAFO.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La vinculación de los practicantes a las entidades del municipio se hará a través de un proceso participativo y basado en el mérito, que estará a cargo de cada una de las entidades a través de sus oficinas de talento humano o a quien corresponda, según el caso. La designación se hará de forma paritaria entre hombres y mujeres y con un enfoque diferencial.</w:t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ARTÍCULO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3.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La Alcaldía Municipal de </w:t>
      </w:r>
      <w:r w:rsidDel="00000000" w:rsidR="00000000" w:rsidRPr="00000000">
        <w:rPr>
          <w:b w:val="1"/>
          <w:i w:val="1"/>
          <w:color w:val="333333"/>
          <w:sz w:val="24"/>
          <w:szCs w:val="24"/>
          <w:shd w:fill="b6d7a8" w:val="clear"/>
          <w:rtl w:val="0"/>
        </w:rPr>
        <w:t xml:space="preserve">(nombre del municipio)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de manera progresiva y atendiendo al principio de sostenibilidad fiscal, propenderá por garantizar un subsidio de sostenimiento a los estudiantes que desarrollen en ella sus prácticas laborales, pasantías, judicatura o relación de docencia de servicio en el área de la salud.</w:t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PARÁGRAFO.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Cada entidad propenderá por garantizar los recursos necesarios para garantizar el subsidio de sostenimiento, siguiendo la normatividad vigente y los criterios de sostenibilidad financiera que apliquen.</w:t>
      </w:r>
    </w:p>
    <w:p w:rsidR="00000000" w:rsidDel="00000000" w:rsidP="00000000" w:rsidRDefault="00000000" w:rsidRPr="00000000" w14:paraId="00000018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ARTÍCULO 4.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El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Concejo de </w:t>
      </w:r>
      <w:r w:rsidDel="00000000" w:rsidR="00000000" w:rsidRPr="00000000">
        <w:rPr>
          <w:b w:val="1"/>
          <w:i w:val="1"/>
          <w:color w:val="333333"/>
          <w:sz w:val="24"/>
          <w:szCs w:val="24"/>
          <w:shd w:fill="b6d7a8" w:val="clear"/>
          <w:rtl w:val="0"/>
        </w:rPr>
        <w:t xml:space="preserve">(nombre del municipio)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establecerá una política de dignificación de las prácticas laborales en la Corporación, teniendo en cuenta los siguientes lineamientos:</w:t>
      </w:r>
    </w:p>
    <w:p w:rsidR="00000000" w:rsidDel="00000000" w:rsidP="00000000" w:rsidRDefault="00000000" w:rsidRPr="00000000" w14:paraId="0000001A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a)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La selección de los practicantes se realizará mediante un proceso de convocatoria pública, que se reportará al sistema de información del servicio público de empleo o el que haga sus veces en el municipio.</w:t>
      </w:r>
    </w:p>
    <w:p w:rsidR="00000000" w:rsidDel="00000000" w:rsidP="00000000" w:rsidRDefault="00000000" w:rsidRPr="00000000" w14:paraId="0000001C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b)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Previa entrevista con el concejal solicitante, se asignará máximo tres (3) de los practicantes o pasantes seleccionados a cada Unidad de Apoyo Normativo, de acuerdo con los perfiles solicitados.</w:t>
      </w:r>
    </w:p>
    <w:p w:rsidR="00000000" w:rsidDel="00000000" w:rsidP="00000000" w:rsidRDefault="00000000" w:rsidRPr="00000000" w14:paraId="0000001E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c)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Como mínimo, uno de los tres practicantes o pasantes asignados a cada Unidad de Apoyo Normativo, debe ser mujer.</w:t>
      </w:r>
    </w:p>
    <w:p w:rsidR="00000000" w:rsidDel="00000000" w:rsidP="00000000" w:rsidRDefault="00000000" w:rsidRPr="00000000" w14:paraId="00000020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d)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Se priorizarán los perfiles de aquellos postulantes que se encuentren domiciliados en estratos socioeconómicos 1, 2 y 3.</w:t>
      </w:r>
    </w:p>
    <w:p w:rsidR="00000000" w:rsidDel="00000000" w:rsidP="00000000" w:rsidRDefault="00000000" w:rsidRPr="00000000" w14:paraId="00000022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e)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Para dar aplicación a las disposiciones del presente Acuerdo, se modificará el </w:t>
      </w:r>
      <w:r w:rsidDel="00000000" w:rsidR="00000000" w:rsidRPr="00000000">
        <w:rPr>
          <w:i w:val="1"/>
          <w:color w:val="333333"/>
          <w:sz w:val="24"/>
          <w:szCs w:val="24"/>
          <w:rtl w:val="0"/>
        </w:rPr>
        <w:t xml:space="preserve">Procedimiento de prácticas profesionales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del Concejo de </w:t>
      </w:r>
      <w:r w:rsidDel="00000000" w:rsidR="00000000" w:rsidRPr="00000000">
        <w:rPr>
          <w:b w:val="1"/>
          <w:i w:val="1"/>
          <w:color w:val="333333"/>
          <w:sz w:val="24"/>
          <w:szCs w:val="24"/>
          <w:shd w:fill="b6d7a8" w:val="clear"/>
          <w:rtl w:val="0"/>
        </w:rPr>
        <w:t xml:space="preserve">(nombre del municipio)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f)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El Concejo de </w:t>
      </w:r>
      <w:r w:rsidDel="00000000" w:rsidR="00000000" w:rsidRPr="00000000">
        <w:rPr>
          <w:b w:val="1"/>
          <w:i w:val="1"/>
          <w:color w:val="333333"/>
          <w:sz w:val="24"/>
          <w:szCs w:val="24"/>
          <w:shd w:fill="b6d7a8" w:val="clear"/>
          <w:rtl w:val="0"/>
        </w:rPr>
        <w:t xml:space="preserve">(nombre del municipio)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otorgará a todas las personas que hagan su práctica laboral o pasantías en la entidad, un auxilio de sostenimiento equivalente al cien por ciento (100%) de un salario mínimo legal mensual vigente y serán afiliadas al sistema de riesgos laborales.</w:t>
      </w:r>
    </w:p>
    <w:p w:rsidR="00000000" w:rsidDel="00000000" w:rsidP="00000000" w:rsidRDefault="00000000" w:rsidRPr="00000000" w14:paraId="00000026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g)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En ningún caso los concejales podrán contar con practicantes a los que no se les otorgue el auxilio de sostenimiento que trata el literal anterior.</w:t>
      </w:r>
    </w:p>
    <w:p w:rsidR="00000000" w:rsidDel="00000000" w:rsidP="00000000" w:rsidRDefault="00000000" w:rsidRPr="00000000" w14:paraId="00000028">
      <w:pPr>
        <w:shd w:fill="ffffff" w:val="clear"/>
        <w:jc w:val="both"/>
        <w:rPr>
          <w:color w:val="333333"/>
          <w:sz w:val="24"/>
          <w:szCs w:val="24"/>
          <w:u w:val="single"/>
        </w:rPr>
      </w:pPr>
      <w:r w:rsidDel="00000000" w:rsidR="00000000" w:rsidRPr="00000000">
        <w:rPr>
          <w:color w:val="333333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La Mesa Directiva establecerá los mecanismos necesarios para la protección de los derechos de los practicantes dentro de la Corporación con el fin de tomar las medidas correctivas necesarias e informar oportunamente a la institución educativa de cualquier situación que afecte el desempeño de sus actividades formativas.</w:t>
      </w:r>
    </w:p>
    <w:p w:rsidR="00000000" w:rsidDel="00000000" w:rsidP="00000000" w:rsidRDefault="00000000" w:rsidRPr="00000000" w14:paraId="0000002A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ARTÍCULO 5.-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En el marco de la reactivación económica, las entidades del municipio propenderán por otorgar plazas para prácticas laborales, pasantías, judicatura o relación de docencia de servicio en el área de la salud, en la modalidad de trabajo en casa.</w:t>
      </w:r>
    </w:p>
    <w:p w:rsidR="00000000" w:rsidDel="00000000" w:rsidP="00000000" w:rsidRDefault="00000000" w:rsidRPr="00000000" w14:paraId="0000002C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hd w:fill="ffffff" w:val="clear"/>
        <w:jc w:val="both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ARTÍCULO 6.-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El presente Acuerdo rige a partir de la fecha de su publicación. </w:t>
      </w:r>
    </w:p>
    <w:p w:rsidR="00000000" w:rsidDel="00000000" w:rsidP="00000000" w:rsidRDefault="00000000" w:rsidRPr="00000000" w14:paraId="0000002E">
      <w:pPr>
        <w:shd w:fill="ffffff" w:val="clear"/>
        <w:jc w:val="center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hd w:fill="ffffff" w:val="clear"/>
        <w:jc w:val="center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PUBLÍQUESE Y CÚMPLASE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